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A6EBB" w14:textId="77777777" w:rsidR="00EA18C9" w:rsidRPr="00EA18C9" w:rsidRDefault="00EA18C9" w:rsidP="00EA18C9">
      <w:pPr>
        <w:spacing w:line="256" w:lineRule="auto"/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</w:pPr>
      <w:r w:rsidRPr="00EA18C9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Modello B</w:t>
      </w:r>
    </w:p>
    <w:p w14:paraId="5AB6C80F" w14:textId="77777777" w:rsidR="00EA18C9" w:rsidRPr="00EA18C9" w:rsidRDefault="00EA18C9" w:rsidP="00EA18C9">
      <w:pPr>
        <w:spacing w:line="256" w:lineRule="auto"/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</w:pPr>
      <w:r w:rsidRPr="00EA18C9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DEFINIZIONE DEL PERCORSO CURRICOLARE ANNUALE</w:t>
      </w:r>
    </w:p>
    <w:p w14:paraId="3125D645" w14:textId="77777777" w:rsidR="00EA18C9" w:rsidRPr="00EA18C9" w:rsidRDefault="00EA18C9" w:rsidP="00EA18C9">
      <w:pPr>
        <w:spacing w:line="256" w:lineRule="auto"/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</w:pPr>
      <w:r w:rsidRPr="00EA18C9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 xml:space="preserve">DISCIPLINA </w:t>
      </w:r>
      <w:r w:rsidRPr="00EA18C9">
        <w:rPr>
          <w:rFonts w:ascii="Times New Roman" w:eastAsia="Calibri" w:hAnsi="Times New Roman" w:cs="Times New Roman"/>
          <w:b/>
          <w:i/>
          <w:noProof/>
          <w:kern w:val="0"/>
          <w:lang w:eastAsia="it-IT"/>
          <w14:ligatures w14:val="none"/>
        </w:rPr>
        <w:t>“</w:t>
      </w:r>
      <w:r w:rsidRPr="00EA18C9">
        <w:rPr>
          <w:rFonts w:ascii="Times New Roman" w:eastAsia="Calibri" w:hAnsi="Times New Roman" w:cs="Times New Roman"/>
          <w:b/>
          <w:i/>
          <w:caps/>
          <w:noProof/>
          <w:kern w:val="0"/>
          <w:lang w:eastAsia="it-IT"/>
          <w14:ligatures w14:val="none"/>
        </w:rPr>
        <w:t>analisi chimica strumentale e Laboratorio</w:t>
      </w:r>
      <w:r w:rsidRPr="00EA18C9">
        <w:rPr>
          <w:rFonts w:ascii="Times New Roman" w:eastAsia="Calibri" w:hAnsi="Times New Roman" w:cs="Times New Roman"/>
          <w:caps/>
          <w:noProof/>
          <w:kern w:val="0"/>
          <w:lang w:eastAsia="it-IT"/>
          <w14:ligatures w14:val="none"/>
        </w:rPr>
        <w:t>”</w:t>
      </w:r>
    </w:p>
    <w:p w14:paraId="1399E159" w14:textId="284BE987" w:rsidR="00EA18C9" w:rsidRPr="00EA18C9" w:rsidRDefault="00EA18C9" w:rsidP="00EA18C9">
      <w:pPr>
        <w:spacing w:line="256" w:lineRule="auto"/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</w:pPr>
      <w:r w:rsidRPr="00EA18C9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Anno di corso 202</w:t>
      </w:r>
      <w:r w:rsidR="00340D74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5</w:t>
      </w:r>
      <w:r w:rsidRPr="00EA18C9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-202</w:t>
      </w:r>
      <w:r w:rsidR="00340D74">
        <w:rPr>
          <w:rFonts w:ascii="Times New Roman" w:eastAsia="Calibri" w:hAnsi="Times New Roman" w:cs="Times New Roman"/>
          <w:noProof/>
          <w:kern w:val="0"/>
          <w:lang w:eastAsia="it-IT"/>
          <w14:ligatures w14:val="none"/>
        </w:rPr>
        <w:t>6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6804"/>
      </w:tblGrid>
      <w:tr w:rsidR="00EA18C9" w:rsidRPr="00EA18C9" w14:paraId="27B333DF" w14:textId="77777777" w:rsidTr="00EA18C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C35D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Microcompetenze</w:t>
            </w:r>
          </w:p>
          <w:p w14:paraId="2E618AD2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Stati di apprendimento al termine dell’anno scolastico.</w:t>
            </w:r>
          </w:p>
          <w:p w14:paraId="6F17716E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CONOSCENZE TEORICHE ED APPLICATIVE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6C5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CONTENUTI</w:t>
            </w:r>
          </w:p>
        </w:tc>
      </w:tr>
      <w:tr w:rsidR="00EA18C9" w:rsidRPr="00EA18C9" w14:paraId="2DF47F50" w14:textId="77777777" w:rsidTr="00EA18C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C0C3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• acquisire i dati ed esprimere qualitativamente e quantitativamente i risultati delle osservazioni di un fenomeno attraverso grandezze fondamentali e derivate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F02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Elettrodi, classificazione potenziale di elettrodo -La legge di Nernst</w:t>
            </w:r>
          </w:p>
          <w:p w14:paraId="05465539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Strumentazione:  Elettrodi di riferimento - Elettrodi di misura: elettrodo a vetro</w:t>
            </w:r>
          </w:p>
          <w:p w14:paraId="764028D8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Metodi di analisi</w:t>
            </w:r>
          </w:p>
          <w:p w14:paraId="166BEF11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Misura del pH, definizione - Titolazioni potenziometriche acido-base;  </w:t>
            </w:r>
          </w:p>
          <w:p w14:paraId="45BF17BF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 </w:t>
            </w:r>
          </w:p>
          <w:p w14:paraId="4EFED98C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Spettrofotometria ultravioletta/visibile (UV/VIS) </w:t>
            </w:r>
          </w:p>
          <w:p w14:paraId="21EC9D9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UV lontano, UV vicino, visibile</w:t>
            </w:r>
          </w:p>
          <w:p w14:paraId="0D655EA7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L’assorbimento dei composti organici</w:t>
            </w:r>
          </w:p>
          <w:p w14:paraId="04ECEF22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Legge di Lambert-Beer</w:t>
            </w:r>
          </w:p>
          <w:p w14:paraId="109EA34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Strumentazione: lo spettrofotometro monoraggio e doppio raggio</w:t>
            </w:r>
          </w:p>
          <w:p w14:paraId="30E9950F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I cromofori nella spettrofotometria UV -visibile</w:t>
            </w:r>
          </w:p>
          <w:p w14:paraId="0C082CE1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Analisi qualitativa</w:t>
            </w:r>
          </w:p>
          <w:p w14:paraId="30AE71B5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Analisi quantitativa</w:t>
            </w:r>
          </w:p>
          <w:p w14:paraId="2F4CE88C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Metodo della retta di taratura.</w:t>
            </w:r>
          </w:p>
          <w:p w14:paraId="34821AC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Laboratorio: registrazione di spettri di assorbimento</w:t>
            </w:r>
          </w:p>
          <w:p w14:paraId="7E49140F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Determinazione di alcuni analiti (olio di oliva e di semi, ammoniaca, nitrati, permanganato)</w:t>
            </w:r>
          </w:p>
          <w:p w14:paraId="54937B42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</w:p>
          <w:p w14:paraId="38EC7DE6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Spettrofotometro IR: schema a blocchi e descrizione dei principali componenti dello strumento. </w:t>
            </w:r>
          </w:p>
          <w:p w14:paraId="63A6C21C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Curva di assorbimento, numero d’onda, picchi caratteristici dei principali gruppi funzionali dei composti organici.</w:t>
            </w:r>
          </w:p>
          <w:p w14:paraId="0F71990C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</w:p>
          <w:p w14:paraId="140911EA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Cromatografia</w:t>
            </w:r>
          </w:p>
          <w:p w14:paraId="3B010C75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Meccanismi chimico-fisici della separazione </w:t>
            </w:r>
          </w:p>
          <w:p w14:paraId="3247C52A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Classificazione delle tecniche cromatografiche: </w:t>
            </w:r>
          </w:p>
          <w:p w14:paraId="06639BE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Cromatogramma</w:t>
            </w:r>
          </w:p>
          <w:p w14:paraId="365F9C05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lastRenderedPageBreak/>
              <w:t>Grandezze, equazioni e parametri fondamentali</w:t>
            </w:r>
          </w:p>
          <w:p w14:paraId="0CF135C6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Cromatografia su strato sottile, analisi degli amminoacidi.</w:t>
            </w:r>
          </w:p>
          <w:p w14:paraId="1CA8AB1F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Gas cromatografia</w:t>
            </w:r>
          </w:p>
          <w:p w14:paraId="0DB994F6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Principi, campi di applicazioni e classificazione delle tecniche</w:t>
            </w:r>
          </w:p>
          <w:p w14:paraId="23946CE6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Fase mobile (carrier) e fase stazionarie </w:t>
            </w:r>
          </w:p>
          <w:p w14:paraId="10226AA1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Il Gascromatografo</w:t>
            </w:r>
          </w:p>
          <w:p w14:paraId="13616960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Cromatografia in fase liquida a elevate prestazioni (HPLC), cenni</w:t>
            </w:r>
          </w:p>
          <w:p w14:paraId="1B1434E9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Principi, campi di applicazioni e classificazione delle tecniche HPLC</w:t>
            </w:r>
          </w:p>
          <w:p w14:paraId="713E887D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 xml:space="preserve"> Descrizione e uso dei cromatografi disponibili in laboratorio </w:t>
            </w:r>
          </w:p>
          <w:p w14:paraId="070705F2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  <w:r w:rsidRPr="00EA18C9">
              <w:rPr>
                <w:rFonts w:ascii="Times New Roman" w:hAnsi="Times New Roman"/>
                <w:noProof/>
                <w:lang w:eastAsia="it-IT"/>
              </w:rPr>
              <w:t>Analisi quantitativa e qualitativa</w:t>
            </w:r>
          </w:p>
          <w:p w14:paraId="337BC2FF" w14:textId="77777777" w:rsidR="00EA18C9" w:rsidRPr="00EA18C9" w:rsidRDefault="00EA18C9" w:rsidP="00EA18C9">
            <w:pPr>
              <w:rPr>
                <w:rFonts w:ascii="Times New Roman" w:hAnsi="Times New Roman"/>
                <w:noProof/>
                <w:lang w:eastAsia="it-IT"/>
              </w:rPr>
            </w:pPr>
          </w:p>
        </w:tc>
      </w:tr>
    </w:tbl>
    <w:p w14:paraId="17C4EF44" w14:textId="77777777" w:rsidR="00EA18C9" w:rsidRPr="00EA18C9" w:rsidRDefault="00EA18C9" w:rsidP="00EA18C9">
      <w:pPr>
        <w:spacing w:line="25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15C8596" w14:textId="77777777" w:rsidR="002A6520" w:rsidRDefault="002A6520"/>
    <w:sectPr w:rsidR="002A6520" w:rsidSect="00EA18C9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C9"/>
    <w:rsid w:val="0008731F"/>
    <w:rsid w:val="002A6520"/>
    <w:rsid w:val="002E7CCE"/>
    <w:rsid w:val="00340345"/>
    <w:rsid w:val="00340D74"/>
    <w:rsid w:val="00385E77"/>
    <w:rsid w:val="003D116E"/>
    <w:rsid w:val="00492E61"/>
    <w:rsid w:val="005232F5"/>
    <w:rsid w:val="005365C4"/>
    <w:rsid w:val="005D0961"/>
    <w:rsid w:val="006655BC"/>
    <w:rsid w:val="00731F1A"/>
    <w:rsid w:val="00821CFE"/>
    <w:rsid w:val="00861F10"/>
    <w:rsid w:val="008E44E6"/>
    <w:rsid w:val="00951D7F"/>
    <w:rsid w:val="00961A2D"/>
    <w:rsid w:val="009C1F0A"/>
    <w:rsid w:val="009F1E65"/>
    <w:rsid w:val="00AA74A6"/>
    <w:rsid w:val="00B53C2B"/>
    <w:rsid w:val="00BF12CA"/>
    <w:rsid w:val="00C36056"/>
    <w:rsid w:val="00C93196"/>
    <w:rsid w:val="00D5771E"/>
    <w:rsid w:val="00E20891"/>
    <w:rsid w:val="00EA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B749"/>
  <w15:chartTrackingRefBased/>
  <w15:docId w15:val="{D8969EAA-D0B4-415A-BC8F-A9407D19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A18C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Samuele Cacciarino</cp:lastModifiedBy>
  <cp:revision>3</cp:revision>
  <dcterms:created xsi:type="dcterms:W3CDTF">2024-06-06T09:13:00Z</dcterms:created>
  <dcterms:modified xsi:type="dcterms:W3CDTF">2026-05-11T20:34:00Z</dcterms:modified>
</cp:coreProperties>
</file>